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4F0B92">
        <w:rPr>
          <w:rFonts w:ascii="Times New Roman" w:eastAsia="Times New Roman" w:hAnsi="Times New Roman" w:cs="Times New Roman"/>
          <w:lang w:eastAsia="hr-HR"/>
        </w:rPr>
        <w:t>112-04</w:t>
      </w:r>
      <w:r w:rsidR="00511CE3">
        <w:rPr>
          <w:rFonts w:ascii="Times New Roman" w:eastAsia="Times New Roman" w:hAnsi="Times New Roman" w:cs="Times New Roman"/>
          <w:lang w:eastAsia="hr-HR"/>
        </w:rPr>
        <w:t>/25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511CE3">
        <w:rPr>
          <w:rFonts w:ascii="Times New Roman" w:eastAsia="Times New Roman" w:hAnsi="Times New Roman" w:cs="Times New Roman"/>
          <w:lang w:eastAsia="hr-HR"/>
        </w:rPr>
        <w:t>5</w:t>
      </w:r>
    </w:p>
    <w:p w:rsidR="000C36E7" w:rsidRDefault="00511CE3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2133-34-25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511CE3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Barilović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7</w:t>
      </w:r>
      <w:r w:rsidR="00A87102">
        <w:rPr>
          <w:rFonts w:ascii="Times New Roman" w:eastAsia="Times New Roman" w:hAnsi="Times New Roman" w:cs="Times New Roman"/>
          <w:lang w:eastAsia="hr-HR"/>
        </w:rPr>
        <w:t>. listopada</w:t>
      </w:r>
      <w:r>
        <w:rPr>
          <w:rFonts w:ascii="Times New Roman" w:eastAsia="Times New Roman" w:hAnsi="Times New Roman" w:cs="Times New Roman"/>
          <w:lang w:eastAsia="hr-HR"/>
        </w:rPr>
        <w:t xml:space="preserve"> 2025.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9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sistematizaciji radnih mje</w:t>
      </w:r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 u Osnovnoj školi </w:t>
      </w:r>
      <w:proofErr w:type="spellStart"/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F0B92">
        <w:rPr>
          <w:rFonts w:ascii="Times New Roman" w:eastAsia="Times New Roman" w:hAnsi="Times New Roman" w:cs="Times New Roman"/>
        </w:rPr>
        <w:t xml:space="preserve">ravnateljica Osnovne škole </w:t>
      </w:r>
      <w:proofErr w:type="spellStart"/>
      <w:r w:rsidR="004F0B92">
        <w:rPr>
          <w:rFonts w:ascii="Times New Roman" w:eastAsia="Times New Roman" w:hAnsi="Times New Roman" w:cs="Times New Roman"/>
        </w:rPr>
        <w:t>Barilović</w:t>
      </w:r>
      <w:proofErr w:type="spellEnd"/>
      <w:r w:rsidR="004F0B92">
        <w:rPr>
          <w:rFonts w:ascii="Times New Roman" w:eastAsia="Times New Roman" w:hAnsi="Times New Roman" w:cs="Times New Roman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  <w:bookmarkStart w:id="0" w:name="_GoBack"/>
      <w:bookmarkEnd w:id="0"/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952A7E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Učitelja/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ice</w:t>
      </w:r>
      <w:proofErr w:type="spellEnd"/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razredne nastave</w:t>
      </w:r>
      <w:r w:rsidR="00A93678">
        <w:rPr>
          <w:rFonts w:ascii="Times New Roman" w:eastAsia="Times New Roman" w:hAnsi="Times New Roman" w:cs="Times New Roman"/>
          <w:b/>
          <w:i/>
          <w:lang w:eastAsia="hr-HR"/>
        </w:rPr>
        <w:t xml:space="preserve"> u produženom boravku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s </w:t>
      </w:r>
      <w:r w:rsidR="00A93678">
        <w:rPr>
          <w:rFonts w:ascii="Times New Roman" w:eastAsia="Times New Roman" w:hAnsi="Times New Roman" w:cs="Times New Roman"/>
          <w:b/>
          <w:i/>
          <w:lang w:eastAsia="hr-HR"/>
        </w:rPr>
        <w:t>ne</w:t>
      </w:r>
      <w:r>
        <w:rPr>
          <w:rFonts w:ascii="Times New Roman" w:eastAsia="Times New Roman" w:hAnsi="Times New Roman" w:cs="Times New Roman"/>
          <w:b/>
          <w:i/>
          <w:lang w:eastAsia="hr-HR"/>
        </w:rPr>
        <w:t>p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>unim radnim vremeno</w:t>
      </w:r>
      <w:r w:rsidR="00A93678">
        <w:rPr>
          <w:rFonts w:ascii="Times New Roman" w:eastAsia="Times New Roman" w:hAnsi="Times New Roman" w:cs="Times New Roman"/>
          <w:b/>
          <w:i/>
          <w:lang w:eastAsia="hr-HR"/>
        </w:rPr>
        <w:t>m od ukupno 30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sati tjedno, na </w:t>
      </w:r>
      <w:r>
        <w:rPr>
          <w:rFonts w:ascii="Times New Roman" w:eastAsia="Times New Roman" w:hAnsi="Times New Roman" w:cs="Times New Roman"/>
          <w:b/>
          <w:i/>
          <w:lang w:eastAsia="hr-HR"/>
        </w:rPr>
        <w:t>određeno radno vrijeme, 1 izvršitelj/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 w:rsidR="004F0B9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117672">
        <w:rPr>
          <w:rFonts w:ascii="Times New Roman" w:eastAsia="Times New Roman" w:hAnsi="Times New Roman" w:cs="Times New Roman"/>
          <w:lang w:eastAsia="hr-HR"/>
        </w:rPr>
        <w:t>je u Područnoj školi Belaj</w:t>
      </w:r>
      <w:r>
        <w:rPr>
          <w:rFonts w:ascii="Times New Roman" w:eastAsia="Times New Roman" w:hAnsi="Times New Roman" w:cs="Times New Roman"/>
          <w:lang w:eastAsia="hr-HR"/>
        </w:rPr>
        <w:t>, a prema potrebi i izvan sjedišta</w:t>
      </w:r>
      <w:r w:rsidR="00117672">
        <w:rPr>
          <w:rFonts w:ascii="Times New Roman" w:eastAsia="Times New Roman" w:hAnsi="Times New Roman" w:cs="Times New Roman"/>
          <w:lang w:eastAsia="hr-HR"/>
        </w:rPr>
        <w:t xml:space="preserve"> područne</w:t>
      </w:r>
      <w:r>
        <w:rPr>
          <w:rFonts w:ascii="Times New Roman" w:eastAsia="Times New Roman" w:hAnsi="Times New Roman" w:cs="Times New Roman"/>
          <w:lang w:eastAsia="hr-HR"/>
        </w:rPr>
        <w:t xml:space="preserve"> škole.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4F0B92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4F0B92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tječaj će se objaviti s danom </w:t>
      </w:r>
      <w:r w:rsidR="00511CE3">
        <w:rPr>
          <w:rFonts w:ascii="Times New Roman" w:eastAsia="Times New Roman" w:hAnsi="Times New Roman" w:cs="Times New Roman"/>
          <w:b/>
          <w:lang w:eastAsia="hr-HR"/>
        </w:rPr>
        <w:t>7</w:t>
      </w:r>
      <w:r w:rsidR="00A87102">
        <w:rPr>
          <w:rFonts w:ascii="Times New Roman" w:eastAsia="Times New Roman" w:hAnsi="Times New Roman" w:cs="Times New Roman"/>
          <w:b/>
          <w:lang w:eastAsia="hr-HR"/>
        </w:rPr>
        <w:t>. listopadom</w:t>
      </w:r>
      <w:r w:rsidR="00511CE3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8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511CE3">
        <w:rPr>
          <w:rFonts w:ascii="Times New Roman" w:eastAsia="Times New Roman" w:hAnsi="Times New Roman" w:cs="Times New Roman"/>
          <w:b/>
          <w:lang w:eastAsia="hr-HR"/>
        </w:rPr>
        <w:t>15. listopada 2025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C36E7"/>
    <w:rsid w:val="000D14B1"/>
    <w:rsid w:val="00117672"/>
    <w:rsid w:val="00136825"/>
    <w:rsid w:val="00153618"/>
    <w:rsid w:val="002024A3"/>
    <w:rsid w:val="00433E26"/>
    <w:rsid w:val="004E448A"/>
    <w:rsid w:val="004F0B92"/>
    <w:rsid w:val="00511CE3"/>
    <w:rsid w:val="005239FC"/>
    <w:rsid w:val="00527CF5"/>
    <w:rsid w:val="005948DF"/>
    <w:rsid w:val="005A51A4"/>
    <w:rsid w:val="005A56CC"/>
    <w:rsid w:val="00713B48"/>
    <w:rsid w:val="00866AAE"/>
    <w:rsid w:val="00870B65"/>
    <w:rsid w:val="0089376D"/>
    <w:rsid w:val="00952A7E"/>
    <w:rsid w:val="00A32384"/>
    <w:rsid w:val="00A55FE2"/>
    <w:rsid w:val="00A861C7"/>
    <w:rsid w:val="00A87102"/>
    <w:rsid w:val="00A9033C"/>
    <w:rsid w:val="00A93678"/>
    <w:rsid w:val="00B55D20"/>
    <w:rsid w:val="00B95656"/>
    <w:rsid w:val="00C0227E"/>
    <w:rsid w:val="00C110A1"/>
    <w:rsid w:val="00D1462A"/>
    <w:rsid w:val="00D64084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F09F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ABF8-FDE1-4B39-B1B5-FED2D336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2</cp:revision>
  <cp:lastPrinted>2025-10-06T12:00:00Z</cp:lastPrinted>
  <dcterms:created xsi:type="dcterms:W3CDTF">2025-10-06T12:01:00Z</dcterms:created>
  <dcterms:modified xsi:type="dcterms:W3CDTF">2025-10-06T12:01:00Z</dcterms:modified>
</cp:coreProperties>
</file>