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e4c3cce79454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21166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BARILOVIĆ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1.226.898,75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1.320.608,16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1.185.673,89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1.422.332,20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101.724,04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40.411,68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7.352,54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40.411,68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7.352,54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109.076,58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ostvareni su ukupni prihodi poslovanja u iznosu od 1.320.608,16 EUR, dok ukupni rashodi poslovanja iznose 1.422.332,20 EUR, čime je iskazan manjak prihoda poslovanja u iznosu od 101.724,04 EUR (šifra Y001).</w:t>
      </w:r>
    </w:p>
    <w:p>
      <w:r>
        <w:t xml:space="preserve">Prihodi od prodaje nefinancijske imovine nisu ostvareni, dok rashodi za nabavu nefinancijske imovine iznose 7.352,54 EUR, zbog čega je iskazan manjak prihoda od nefinancijske imovine u istom iznosu (šifra Y002).</w:t>
      </w:r>
    </w:p>
    <w:p>
      <w:r>
        <w:t xml:space="preserve">U izvještajnom razdoblju nisu ostvareni primici ni izdaci od financijske imovine i zaduživanja, te po toj osnovi nije iskazan višak niti manjak (šifra X003/Y003).</w:t>
      </w:r>
    </w:p>
    <w:p>
      <w:r>
        <w:t xml:space="preserve">Slijedom navedenog, u obrascu PR-RAS iskazan je ukupni manjak prihoda i primitaka u iznosu od 109.076,58 EUR (šifra Y005).</w:t>
      </w:r>
      <w:r>
        <w:br/>
      </w:r>
      <w:r>
        <w:br/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20.534,87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21.348,06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</w:t>
            </w:r>
          </w:p>
        </w:tc>
      </w:tr>
    </w:tbl>
    <w:p>
      <w:pPr>
        <w:spacing w:before="0" w:after="0"/>
      </w:pPr>
    </w:p>
    <w:p>
      <w:r>
        <w:t xml:space="preserve">Rezultat poslovanja za izvještajno razdoblje pokazuje odstupanje za 0,01 EUR odnosu na ostvaren rezultat u razdobljue od 1. siječnja do 31. prosinca 2024. godine. Navedno odstupanje je rezultat zaokruživanja prilikom konvrezije iz hrvatske kune (HRK) u euro (EUR), a u svrhu usklađivanja bilance provedena je korekcija konta 922 u iznosu od 0,01 EUR.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98.722,24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Značajno povećanje obračunatih, a nenaplaćenih prihoda poslovanja u izvještajnom razdoblju od 1. siječnja do 31. prosinca 2025. godine, u odnosu na izvještajno razdoblje 1. siječnja do 31. prosinca 2024. godine, povezano je s knjiženjem trinaeste plaće, koja je isplaćena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98.722,24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Značajno povećanje obračunatih, a nenaplaćenih prihoda poslovanja u izvještajnom razdoblju od 1. siječnja do 31. prosinca 2025. godine, u odnosu na izvještajno razdoblje 1. siječnja do 31. prosinca 2024. godine, povezano je s knjiženjem trinaeste plaće, koja je isplaćena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22.072,27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Stanje novčanih sredstava na kraju izvještajnog razdoblja za razdoblje od 01.01.2025.-31.12.2025. godine je 0,00 EUR iz razloga što je od 01.10.2025. uspostavljen jedinstveni račun Karlovačke županije.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obeza na kraju izvještajnog razdoblja je je 0,00 EUR jer će sve obveze biti podmirene tek u siječnju 2026.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izvještajnom razdoblju ustanova je sudjelovala u provedbi Erasmus programa, financiranog iz izvora 510, te programa Pomoćnici u nastavi, koji je financiran iz izvora 561, uz pripadajuće nacionalno sufinanciranje.  </w:t>
      </w:r>
    </w:p>
    <w:p>
      <w:r>
        <w:t xml:space="preserve">U izvještajnom razdoblju provodio se program Pomoćnici u nastavi, financiran sredstvima Europske unije iz izvora 561 te nacionalnim sufinanciranjem. Po osnovi nacionalnog sufinanciranja ostvareni su ukupni prihodi u iznosu od 1.209,94 EUR, dok su ukupni rashodi iznosili 1.317,00 EUR, čime je ostvaren manjak u iznosu od 107,06 EUR. Iz izvora 561 (EU sredstva) ostvareni su ukupni prihodi u iznosu od 7.270,48 EUR, dok su ukupni rashodi iznosili 7.855,49 EUR, a odnose se na rashode za plaće i pripadajuće doprinose pomoćnika u nastavi. Sva sredstva korištena su namjenski i evidentirana u poslovnim knjigama sukladno važećim propisima i ugovornim obvezama.</w:t>
      </w:r>
      <w:r>
        <w:br/>
      </w:r>
    </w:p>
    <w:p>
      <w:r>
        <w:t xml:space="preserve">U izvještajnom razdoblju provodio se Erasmus program, financiran iz izvora 510. U okviru programa ostvareni su ukupni prihodi poslovanja u iznosu od 18.768,92 EUR, dok su ukupni rashodi poslovanja iznosili 38.102,48 EUR. Razlika između ostvarenih prihoda i rashoda rezultat je izvanbilančnih zapisa u iznosu od 33.510,00 EUR, koji se odnose na sredstva namijenjena financiranju projektnih aktivnosti u sljedećem razdoblju, sukladno pravilima Erasmus programa.Sredstva su korištena namjenski i evidentirana u poslovnim knjigama prema važećim propisima i ugovornim obvezama.</w:t>
      </w:r>
    </w:p>
    <w:p>
      <w:r>
        <w:t xml:space="preserve"> 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8f8d5ec7064db2" /></Relationships>
</file>