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b20df18ea3e47b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21166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BARILOVIĆ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1.226.898,75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1.320.608,16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1.185.673,89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1.422.332,20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101.724,04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40.411,68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40.411,68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7.352,54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109.076,58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izvještajnom razdoblju od 01.01.2025.-31.12.2025. ostvareni su ukupni prihodi poslovanja u iznosu od 1.320.608,16 EUR, dok ukupni rashodi poslovanja iznose 1.422.332,20 EUR, čime je iskazan manjak prihoda poslovanja u iznosu od 101.724,04 EUR (šifra Y001). </w:t>
      </w:r>
      <w:r>
        <w:br/>
      </w:r>
      <w:r>
        <w:br/>
      </w:r>
      <w:r>
        <w:t xml:space="preserve">U izvjestajnom razdoblju korigiran je konto 922 u svurhu uskladivanja bilance, navedena korekcija iznosi 0,01 EUR. odstupanje za 0,01 EUR. Navedno odstupanje je rezultat zaokruživanja prilikom konvrezije iz hrvatske kune (HRK) u euro (EUR). </w:t>
      </w:r>
    </w:p>
    <w:p>
      <w:r>
        <w:t xml:space="preserve">Prihodi od prodaje nefinancijske imovine nisu ostvareni, dok rashodi za nabavu nefinancijske imovine iznose 7.352,54 EUR, zbog čega je iskazan manjak prihoda od nefinancijske imovine u istom iznosu (šifra Y002).</w:t>
      </w:r>
    </w:p>
    <w:p>
      <w:r>
        <w:t xml:space="preserve">U izvještajnom razdoblju nisu ostvareni primici ni izdaci od financijske imovine i zaduživanja, te po toj osnovi nije iskazan višak niti manjak (šifra X003/Y003).</w:t>
      </w:r>
    </w:p>
    <w:p>
      <w:r>
        <w:t xml:space="preserve">Slijedom navedenog, u obrascu PR-RAS iskazan je ukupni manjak prihoda i primitaka u iznosu od 109.076,58 EUR (šifra Y005).</w:t>
      </w:r>
      <w:r>
        <w:br/>
      </w:r>
      <w:r>
        <w:br/>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38.735,63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362,1</w:t>
            </w:r>
          </w:p>
        </w:tc>
      </w:tr>
    </w:tbl>
    <w:p>
      <w:pPr>
        <w:spacing w:before="0" w:after="0"/>
      </w:pPr>
    </w:p>
    <w:p>
      <w:r>
        <w:t xml:space="preserve">U izvještajnom razdoblju zabilježen je porast prihoda po posebnim propisima, znog uplata pologa za prijevoz učenika na izlete te uplate roditelja za sufinanciranje troškova produženog boravka.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531,9</w:t>
            </w:r>
          </w:p>
        </w:tc>
      </w:tr>
    </w:tbl>
    <w:p>
      <w:pPr>
        <w:spacing w:before="0" w:after="0"/>
      </w:pPr>
    </w:p>
    <w:p>
      <w:r>
        <w:t xml:space="preserve">Rashodi za ostale usluge bilježe povećanje u odnosu na prethodno izvještajno razdoblje zbog ulaganja u sustav videonadzora u matičnoj školi i jednoj područnoj školi, a sve u cilju povećanja sigurnosti učenika.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262,0</w:t>
            </w:r>
          </w:p>
        </w:tc>
      </w:tr>
    </w:tbl>
    <w:p>
      <w:pPr>
        <w:spacing w:before="0" w:after="0"/>
      </w:pPr>
    </w:p>
    <w:p>
      <w:r>
        <w:t xml:space="preserve">Rashodi za reprezentaciju u ovom izvještajnom razdoblju bilježe povećanje zbog troškova za svečano otvorenje početaka izgradnje dvorane pri matičnoj školi.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24.637,96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4540,4</w:t>
            </w:r>
          </w:p>
        </w:tc>
      </w:tr>
    </w:tbl>
    <w:p>
      <w:pPr>
        <w:spacing w:before="0" w:after="0"/>
      </w:pPr>
    </w:p>
    <w:p>
      <w:r>
        <w:t xml:space="preserve">Ostali rashodi poslovanja povećani su u izvještajnom razdoblju u odnosu na prethodno razdoblje zbog povrata sredstava za troškove projekata koji su bili planirani u prethodnom izvještajnom razdoblju.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150,5</w:t>
            </w:r>
          </w:p>
        </w:tc>
      </w:tr>
    </w:tbl>
    <w:p>
      <w:pPr>
        <w:spacing w:before="0" w:after="0"/>
      </w:pPr>
    </w:p>
    <w:p>
      <w:r>
        <w:t xml:space="preserve">Tekuće pomoći temeljem prijenosa EU sredstava u izvještajnom razdoblju bilježe povećanje zbog isplate sredstava uspješno završenih Erasmus projekata.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20.534,87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21.348,06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w:t>
            </w:r>
          </w:p>
        </w:tc>
      </w:tr>
    </w:tbl>
    <w:p>
      <w:pPr>
        <w:spacing w:before="0" w:after="0"/>
      </w:pPr>
    </w:p>
    <w:p>
      <w:r>
        <w:t xml:space="preserve">Rezultat poslovanja za izvještajno razdoblje pokazuje odstupanje za 0,01 EUR odnosu na ostvaren rezultat u razdobljue od 1. siječnja do 31. prosinca 2024. godine. Navedno odstupanje je rezultat zaokruživanja prilikom konvrezije iz hrvatske kune (HRK) u euro (EUR), a u svrhu usklađivanja bilance provedena je korekcija konta 922 u iznosu od 0,01 EUR.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101.766,96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Značajno povećanje obračunatih, a nenaplaćenih prihoda poslovanja u izvještajnom razdoblju od 1. siječnja do 31. prosinca 2025. godine, u odnosu na izvještajno razdoblje 1. siječnja do 31. prosinca 2024. godine, povezano je s knjiženjem trinaeste plaće (plaća financirana od MZOM-a, plaća djelatnice u produženom boravku koja je sufinancirana od strane roditeljia i općine Barilović), obračunatim materijalnim pravila za mjesec prosinca, te knjiženim računima (namirnice za osiguranje školske prehrane učenika).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w:t>
            </w:r>
          </w:p>
        </w:tc>
      </w:tr>
    </w:tbl>
    <w:p>
      <w:pPr>
        <w:spacing w:before="0" w:after="0"/>
      </w:pPr>
    </w:p>
    <w:p>
      <w:r>
        <w:t xml:space="preserve">Rashodi za knjige u ovom izvještajnom razdoblju bilježe smanjenje radi manjeg broja naručenih udžbenika za novu školsku godinu 2025./2026..</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od 01.01.2025. do 31.12.2025. nije bilo dodatnih ulaganja na nefinancijskoj imovini.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101.766,96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Značajno povećanje obračunatih, a nenaplaćenih prihoda poslovanja u izvještajnom razdoblju od 1. siječnja do 31. prosinca 2025. godine, u odnosu na izvještajno razdoblje 1. siječnja do 31. prosinca 2024. godine, povezano je s knjiženjem trinaeste plaće (plaća financirana od MZOM-a, plaća djelatnice u produženom boravku koja je sufinancirana od strane roditeljia i općine Barilović), obračunatim materijalnim pravila za mjesec prosinca, te knjiženim računima (namirnice za osiguranje školske prehrane učenika).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76.702,86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ovom izvještajnom razdoblju skupina 19 je ukinuta, te se potraživanja iskazuju na računu iz računskog plana 96.</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22.072,27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novčanih sredstava na kraju izvještajnog razdoblja za razdoblje od 01.01.2025.-31.12.2025. godine je 0,00 EUR iz razloga što je od 01.10.2025. uspostavljen jedinstveni račun Karlovačke županije.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86.899,48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se odnose na plaću zaposlenika za prosinac, materijalna prava za prosinac te za školsku prehranu djece za prosinac. Ukupno potraživanje za prihode iznosi od čega je za plaću zaposlenika koja je financiranja od MZOM-a iznosi 81.257,22, plaća zaposlenice u produženom boravku koju financira Općina Barilović te dio plaće financiran uplatama roditelja djece koja pohađaju produženi boravak iznosi 1.401,74 eur. Potraživanje za prihode za materijalna prava za prosinac iznosi 1.224,34 eura. Te potraživanje za sredstva koja su namijenjena za financiranje školske prehrane iznosi 3.016,18 eur.</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14.483,75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pomoć na temelju prijenosa EU sredstava iznosi 14.483,75 što se odnosi na potraživanje prihoda za rashode koji su nastali radi provođena Erasmus+ projekta, a u prethodnom razdoblju nisu bila iskazana zbog novog računovodstvenog  evidentiranja sredstava Europske unije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26.923,58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2346,5</w:t>
            </w:r>
          </w:p>
        </w:tc>
      </w:tr>
    </w:tbl>
    <w:p>
      <w:pPr>
        <w:spacing w:before="0" w:after="0"/>
      </w:pPr>
    </w:p>
    <w:p>
      <w:r>
        <w:t xml:space="preserve">Sukladno Okružnici, zbog promjene knjigovodstvenog evidentiranja  i iskazivanja podataka u obrascu BIL, od 1. 1. 2025. skupina 239 je ukinuta te se podaci prema novom Pravilniku iskazuju na odgovarajućim novootvorenim računima u okviru skupine 27.</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21.348,05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-87.728,52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-410,9</w:t>
            </w:r>
          </w:p>
        </w:tc>
      </w:tr>
    </w:tbl>
    <w:p>
      <w:pPr>
        <w:spacing w:before="0" w:after="0"/>
      </w:pPr>
    </w:p>
    <w:p>
      <w:r>
        <w:t xml:space="preserve">U izvještajnom razdoblju preneseni višak poslovanja od 21.348,05  prebio se s nastalim manjom te ukupni manjak prihoda  na kraju izvještajnog razdoblja iznosi 87.728,52  a odnosi se na obračunate, a nenaplaćene obveze.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101.766,96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Obračunati prihodi poslovanja odnose na plaću za mjesec prosinac, obracunata materijalna prava, obracunatu placu za produženi boravak te potraživanja od EUza Erasmus+ program</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Izvanbilančni zapis – pasiva u ovom izvještajnom razdoblju radi novog računovodstvenog evidentiranja sredstava Europske unije, iznosi 33.510,00 što je uplata od Agencije za mobilnost učenika a sredstva su namijenjena za provođene Erasmus+ programa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1.226.085,57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1.429.684,74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r>
        <w:t xml:space="preserve">OŠ Barilović rashode prema funkcijskoj klasifikaciji ima iskazano na funkciji 0912 osnovno obrazovanje. Kako je škola uključena u razne projekte tako dio rashoda evidentira na 098 usluge obrazovanja koje nisu drugdje svrstane u iznosu od 47.261,95 a odnosi se na provođenje Erasmus+ programa. Te posebne usluge 096 koje se odnose na osiguravanje školske prehrane za svu djecu, provođene Sheme školskog voća, osiguran prijevoz učenicima te financiranje produženog boravka u iznosu od 139.966,16 eura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25.087,05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Vrijednost imovine je smanjenje zbog obračuna amortizacije u 2025. godini prema propisanim stopama.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78.458,88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na početku izvještajnog razdoblja iznose 78.458,88 ,plaća za 12/2024 koja je isplaćena u siječnju 2025.</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obeza na kraju izvještajnog razdoblja je je 0,00 EUR jer će sve obveze biti podmirene tek u siječnju 2026. godine.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117.825,50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na kraju izvještajnog razdoblja iznose 117.825,50 što se odnosi na obračunate plaće za 12/2025, obračunata materijalna prava te proknjiženje račune koji se odnose na osiguravanje prehrane učenicima u prosincu. Obveza na kraju izvještajnog razdoblja je i predujam dobiven od Agencije za mobilnost učenika.</w:t>
      </w:r>
    </w:p>
    <w:p/>
    <w:p>
      <w:pPr>
        <w:jc w:val="center"/>
        <w:pStyle w:val="Normal"/>
        <w:spacing w:line="240" w:lineRule="auto"/>
        <w:keepNext/>
      </w:pPr>
      <w:r>
        <w:rPr>
          <w:sz w:val="28"/>
          <w:rFonts w:ascii="Times New Roman" w:hAnsi="Times New Roman"/>
        </w:rPr>
        <w:t xml:space="preserve">Bilješka 25.</w:t>
      </w:r>
    </w:p>
    <w:p>
      <w:pPr>
        <w:jc w:val="both"/>
        <w:pStyle w:val="Normal"/>
        <w:spacing w:line="240" w:lineRule="auto"/>
      </w:pPr>
      <w:r>
        <w:rPr>
          <w:b/>
          <w:sz w:val="24"/>
          <w:rFonts w:ascii="Times New Roman" w:hAnsi="Times New Roman"/>
        </w:rPr>
        <w:t xml:space="preserve">EU izvještaj</w:t>
      </w:r>
    </w:p>
    <w:p>
      <w:r>
        <w:t xml:space="preserve">U izvještajnom razdoblju OS Barilovic sudjelovala je u provedbi Erasmus programa, financiranog iz izvora 510, te programa Pomoćnici u nastavi, koji je financiran iz izvora 561, uz pripadajuće nacionalno sufinanciranje.  </w:t>
      </w:r>
    </w:p>
    <w:p>
      <w:r>
        <w:t xml:space="preserve">U izvještajnom razdoblju provodio se program Pomoćnici u nastavi, financiran sredstvima Europske unije iz izvora 561 te nacionalnim sufinanciranjem. Po osnovi nacionalnog sufinanciranja ostvareni su ukupni prihodi u iznosu od 1.209,94 EUR, dok su ukupni rashodi iznosili 1.317,00 EUR, čime je ostvaren manjak u iznosu od 107,06 EUR. Manjak se odnosi na obracunatu placu za prosinac, a koja ce biti isplacena u sijecnju 2026. Iz izvora 561 (EU sredstva) ostvareni su ukupni prihodi u iznosu od 7.270,48 EUR, dok su ukupni rashodi iznosili 7.855,49 EUR, a odnose se na rashode za plaće i pripadajuće doprinose pomoćnika u nastavi.  Sva sredstva korištena su namjenski i evidentirana u poslovnim knjigama sukladno važećim propisima i ugovornim obvezama.</w:t>
      </w:r>
      <w:r>
        <w:br/>
      </w:r>
    </w:p>
    <w:p>
      <w:r>
        <w:t xml:space="preserve">U izvještajnom razdoblju provodio se Erasmus program, financiran iz izvora 510. U okviru programa ostvareni su ukupni prihodi poslovanja u iznosu od 18.768,92 EUR, dok su ukupni rashodi poslovanja iznosili 38.102,48 EUR. Razlika između ostvarenih prihoda i rashoda rezultat je izvanbilančnih zapisa u iznosu od 33.510,00 EUR, koji se odnose na sredstva namijenjena financiranju projektnih aktivnosti u sljedećem razdoblju, sukladno pravilima Erasmus programa. Sredstva su korištena namjenski i evidentirana u poslovnim knjigama prema važećim propisima i ugovornim obvezama.</w:t>
      </w:r>
    </w:p>
    <w:p>
      <w:r>
        <w:t xml:space="preserve">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7101699e64442c0" /></Relationships>
</file>